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3840" w14:textId="582EABCD" w:rsidR="00854D46" w:rsidRDefault="00A67930" w:rsidP="00A67930">
      <w:pPr>
        <w:jc w:val="right"/>
      </w:pPr>
      <w:r>
        <w:t>CPSCAV</w:t>
      </w:r>
      <w:r w:rsidR="002C556D">
        <w:t>0</w:t>
      </w:r>
      <w:r>
        <w:t>C22</w:t>
      </w:r>
    </w:p>
    <w:p w14:paraId="271401D5" w14:textId="77777777" w:rsidR="00A67930" w:rsidRPr="005974A8" w:rsidRDefault="00A67930" w:rsidP="00A67930">
      <w:pPr>
        <w:jc w:val="center"/>
        <w:rPr>
          <w:b/>
          <w:bCs/>
          <w:sz w:val="28"/>
          <w:szCs w:val="28"/>
        </w:rPr>
      </w:pPr>
      <w:r w:rsidRPr="004318C8">
        <w:rPr>
          <w:rFonts w:ascii="Times New Roman" w:eastAsia="Calibri" w:hAnsi="Times New Roman" w:cs="Times New Roman"/>
          <w:b/>
          <w:noProof/>
          <w:sz w:val="32"/>
          <w:szCs w:val="32"/>
          <w:lang w:val="es-ES_tradnl" w:eastAsia="es-ES_tradnl"/>
        </w:rPr>
        <w:drawing>
          <wp:inline distT="0" distB="0" distL="0" distR="0" wp14:anchorId="15E459B2" wp14:editId="7451AED8">
            <wp:extent cx="5609590" cy="2082165"/>
            <wp:effectExtent l="19050" t="0" r="0" b="0"/>
            <wp:docPr id="1" name="Imagen 1" descr="C:\Users\amatab\Desktop\en desarrollo\artesgraficas\Sala Constitucional facebook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ab\Desktop\en desarrollo\artesgraficas\Sala Constitucional facebook_Mesa de trabajo 1.jpg"/>
                    <pic:cNvPicPr>
                      <a:picLocks noChangeAspect="1" noChangeArrowheads="1"/>
                    </pic:cNvPicPr>
                  </pic:nvPicPr>
                  <pic:blipFill>
                    <a:blip r:embed="rId7" cstate="print"/>
                    <a:srcRect/>
                    <a:stretch>
                      <a:fillRect/>
                    </a:stretch>
                  </pic:blipFill>
                  <pic:spPr bwMode="auto">
                    <a:xfrm>
                      <a:off x="0" y="0"/>
                      <a:ext cx="5609590" cy="2082165"/>
                    </a:xfrm>
                    <a:prstGeom prst="rect">
                      <a:avLst/>
                    </a:prstGeom>
                    <a:noFill/>
                    <a:ln w="9525">
                      <a:noFill/>
                      <a:miter lim="800000"/>
                      <a:headEnd/>
                      <a:tailEnd/>
                    </a:ln>
                  </pic:spPr>
                </pic:pic>
              </a:graphicData>
            </a:graphic>
          </wp:inline>
        </w:drawing>
      </w:r>
    </w:p>
    <w:p w14:paraId="4F0ED249" w14:textId="61102C7E" w:rsidR="00A67930" w:rsidRPr="002C0B2E" w:rsidRDefault="00A67930" w:rsidP="00A67930">
      <w:pPr>
        <w:jc w:val="right"/>
        <w:rPr>
          <w:rFonts w:ascii="Times New Roman" w:hAnsi="Times New Roman" w:cs="Times New Roman"/>
          <w:sz w:val="20"/>
          <w:szCs w:val="20"/>
        </w:rPr>
      </w:pPr>
      <w:r>
        <w:rPr>
          <w:rFonts w:ascii="Times New Roman" w:hAnsi="Times New Roman" w:cs="Times New Roman"/>
          <w:sz w:val="20"/>
          <w:szCs w:val="20"/>
        </w:rPr>
        <w:t>6/01/22</w:t>
      </w:r>
    </w:p>
    <w:p w14:paraId="06A625D2" w14:textId="20728717" w:rsidR="00A67930" w:rsidRPr="00EB2E10" w:rsidRDefault="00A67930" w:rsidP="00A67930">
      <w:pPr>
        <w:jc w:val="center"/>
        <w:rPr>
          <w:rFonts w:ascii="Times New Roman" w:hAnsi="Times New Roman" w:cs="Times New Roman"/>
          <w:b/>
          <w:bCs/>
          <w:sz w:val="32"/>
          <w:szCs w:val="32"/>
        </w:rPr>
      </w:pPr>
      <w:r w:rsidRPr="00EB2E10">
        <w:rPr>
          <w:rFonts w:ascii="Times New Roman" w:hAnsi="Times New Roman" w:cs="Times New Roman"/>
          <w:b/>
          <w:bCs/>
          <w:sz w:val="32"/>
          <w:szCs w:val="32"/>
        </w:rPr>
        <w:t>Sala Constitucional</w:t>
      </w:r>
      <w:bookmarkStart w:id="0" w:name="_Hlk73019013"/>
      <w:r w:rsidR="00BC0AF1">
        <w:rPr>
          <w:rFonts w:ascii="Times New Roman" w:hAnsi="Times New Roman" w:cs="Times New Roman"/>
          <w:b/>
          <w:bCs/>
          <w:sz w:val="32"/>
          <w:szCs w:val="32"/>
        </w:rPr>
        <w:t xml:space="preserve"> rechaza acción contra decreto que establece vacunación obligatoria para funcionarios públicos</w:t>
      </w:r>
    </w:p>
    <w:bookmarkEnd w:id="0"/>
    <w:p w14:paraId="2F05A0F6" w14:textId="237DE2F6" w:rsidR="00A67930" w:rsidRDefault="00A67930" w:rsidP="00A67930">
      <w:pPr>
        <w:pStyle w:val="Prrafodelista"/>
        <w:numPr>
          <w:ilvl w:val="0"/>
          <w:numId w:val="1"/>
        </w:numPr>
        <w:rPr>
          <w:rFonts w:ascii="Times New Roman" w:hAnsi="Times New Roman" w:cs="Times New Roman"/>
          <w:i/>
          <w:iCs/>
          <w:sz w:val="24"/>
          <w:szCs w:val="24"/>
        </w:rPr>
      </w:pPr>
      <w:r>
        <w:rPr>
          <w:rFonts w:ascii="Times New Roman" w:hAnsi="Times New Roman" w:cs="Times New Roman"/>
          <w:i/>
          <w:iCs/>
          <w:sz w:val="24"/>
          <w:szCs w:val="24"/>
        </w:rPr>
        <w:t xml:space="preserve">Tribunal </w:t>
      </w:r>
      <w:r w:rsidR="00BC0AF1">
        <w:rPr>
          <w:rFonts w:ascii="Times New Roman" w:hAnsi="Times New Roman" w:cs="Times New Roman"/>
          <w:i/>
          <w:iCs/>
          <w:sz w:val="24"/>
          <w:szCs w:val="24"/>
        </w:rPr>
        <w:t xml:space="preserve">concluye que medida pretende </w:t>
      </w:r>
      <w:r w:rsidR="006B77C8">
        <w:rPr>
          <w:rFonts w:ascii="Times New Roman" w:hAnsi="Times New Roman" w:cs="Times New Roman"/>
          <w:i/>
          <w:iCs/>
          <w:sz w:val="24"/>
          <w:szCs w:val="24"/>
        </w:rPr>
        <w:t>garantizar derecho a la salud a nivel colectivo</w:t>
      </w:r>
    </w:p>
    <w:p w14:paraId="05FCD5A3" w14:textId="77777777" w:rsidR="00A67930" w:rsidRPr="00815522" w:rsidRDefault="00A67930" w:rsidP="00A67930">
      <w:pPr>
        <w:jc w:val="both"/>
        <w:rPr>
          <w:rFonts w:ascii="Times New Roman" w:hAnsi="Times New Roman" w:cs="Times New Roman"/>
          <w:i/>
          <w:iCs/>
          <w:sz w:val="24"/>
          <w:szCs w:val="24"/>
        </w:rPr>
      </w:pPr>
    </w:p>
    <w:p w14:paraId="2C44A938" w14:textId="183E82DE" w:rsidR="00A67930" w:rsidRPr="00815522" w:rsidRDefault="00A67930" w:rsidP="00815522">
      <w:pPr>
        <w:spacing w:line="276" w:lineRule="auto"/>
        <w:jc w:val="both"/>
        <w:rPr>
          <w:rFonts w:ascii="Times New Roman" w:hAnsi="Times New Roman" w:cs="Times New Roman"/>
          <w:sz w:val="24"/>
          <w:szCs w:val="24"/>
        </w:rPr>
      </w:pPr>
      <w:r w:rsidRPr="00815522">
        <w:rPr>
          <w:rFonts w:ascii="Times New Roman" w:hAnsi="Times New Roman" w:cs="Times New Roman"/>
          <w:sz w:val="24"/>
          <w:szCs w:val="24"/>
        </w:rPr>
        <w:t xml:space="preserve">La Sala Constitucional, garante de la dignidad, los derechos y la libertad de las personas, </w:t>
      </w:r>
      <w:r w:rsidR="009432CE" w:rsidRPr="00827084">
        <w:rPr>
          <w:rFonts w:ascii="Times New Roman" w:hAnsi="Times New Roman" w:cs="Times New Roman"/>
          <w:sz w:val="24"/>
          <w:szCs w:val="24"/>
        </w:rPr>
        <w:t>por mayoría</w:t>
      </w:r>
      <w:r w:rsidR="009432CE">
        <w:rPr>
          <w:rFonts w:ascii="Times New Roman" w:hAnsi="Times New Roman" w:cs="Times New Roman"/>
          <w:sz w:val="24"/>
          <w:szCs w:val="24"/>
        </w:rPr>
        <w:t xml:space="preserve"> </w:t>
      </w:r>
      <w:r w:rsidR="006B77C8" w:rsidRPr="00815522">
        <w:rPr>
          <w:rFonts w:ascii="Times New Roman" w:hAnsi="Times New Roman" w:cs="Times New Roman"/>
          <w:sz w:val="24"/>
          <w:szCs w:val="24"/>
        </w:rPr>
        <w:t>rechazó por el fondo una acción de inconstitucionalidad interpuesta contra el decreto ejecutivo</w:t>
      </w:r>
      <w:r w:rsidR="006B77C8" w:rsidRPr="00815522">
        <w:rPr>
          <w:rFonts w:ascii="Times New Roman" w:eastAsia="Times New Roman" w:hAnsi="Times New Roman" w:cs="Times New Roman"/>
          <w:sz w:val="24"/>
          <w:szCs w:val="24"/>
          <w:lang w:eastAsia="es-CR"/>
        </w:rPr>
        <w:t xml:space="preserve"> </w:t>
      </w:r>
      <w:r w:rsidR="006B77C8" w:rsidRPr="00815522">
        <w:rPr>
          <w:rFonts w:ascii="Times New Roman" w:hAnsi="Times New Roman" w:cs="Times New Roman"/>
          <w:sz w:val="24"/>
          <w:szCs w:val="24"/>
        </w:rPr>
        <w:t xml:space="preserve">N°43249-S, el cual establece la obligatoriedad de la vacuna contra </w:t>
      </w:r>
      <w:r w:rsidR="007D12D4" w:rsidRPr="00815522">
        <w:rPr>
          <w:rFonts w:ascii="Times New Roman" w:hAnsi="Times New Roman" w:cs="Times New Roman"/>
          <w:sz w:val="24"/>
          <w:szCs w:val="24"/>
        </w:rPr>
        <w:t xml:space="preserve">el </w:t>
      </w:r>
      <w:r w:rsidR="006B77C8" w:rsidRPr="00815522">
        <w:rPr>
          <w:rFonts w:ascii="Times New Roman" w:hAnsi="Times New Roman" w:cs="Times New Roman"/>
          <w:sz w:val="24"/>
          <w:szCs w:val="24"/>
        </w:rPr>
        <w:t>covid-19 para los funcionarios públicos.</w:t>
      </w:r>
    </w:p>
    <w:p w14:paraId="7F0B07B4" w14:textId="78FB33A0" w:rsidR="006B77C8" w:rsidRPr="00815522" w:rsidRDefault="006B77C8" w:rsidP="00815522">
      <w:pPr>
        <w:spacing w:line="276" w:lineRule="auto"/>
        <w:jc w:val="both"/>
        <w:rPr>
          <w:rFonts w:ascii="Times New Roman" w:hAnsi="Times New Roman" w:cs="Times New Roman"/>
          <w:sz w:val="24"/>
          <w:szCs w:val="24"/>
        </w:rPr>
      </w:pPr>
      <w:r w:rsidRPr="00815522">
        <w:rPr>
          <w:rFonts w:ascii="Times New Roman" w:hAnsi="Times New Roman" w:cs="Times New Roman"/>
          <w:sz w:val="24"/>
          <w:szCs w:val="24"/>
        </w:rPr>
        <w:t>En la sesión del miércoles 5 de enero, y por medio del voto N°202</w:t>
      </w:r>
      <w:r w:rsidR="003C65C4">
        <w:rPr>
          <w:rFonts w:ascii="Times New Roman" w:hAnsi="Times New Roman" w:cs="Times New Roman"/>
          <w:sz w:val="24"/>
          <w:szCs w:val="24"/>
        </w:rPr>
        <w:t>2</w:t>
      </w:r>
      <w:r w:rsidR="00161341">
        <w:rPr>
          <w:rFonts w:ascii="Times New Roman" w:hAnsi="Times New Roman" w:cs="Times New Roman"/>
          <w:sz w:val="24"/>
          <w:szCs w:val="24"/>
        </w:rPr>
        <w:t>003</w:t>
      </w:r>
      <w:r w:rsidR="00886106">
        <w:rPr>
          <w:rFonts w:ascii="Times New Roman" w:hAnsi="Times New Roman" w:cs="Times New Roman"/>
          <w:sz w:val="24"/>
          <w:szCs w:val="24"/>
        </w:rPr>
        <w:t>7</w:t>
      </w:r>
      <w:r w:rsidR="00161341">
        <w:rPr>
          <w:rFonts w:ascii="Times New Roman" w:hAnsi="Times New Roman" w:cs="Times New Roman"/>
          <w:sz w:val="24"/>
          <w:szCs w:val="24"/>
        </w:rPr>
        <w:t>4</w:t>
      </w:r>
      <w:r w:rsidRPr="00815522">
        <w:rPr>
          <w:rFonts w:ascii="Times New Roman" w:hAnsi="Times New Roman" w:cs="Times New Roman"/>
          <w:sz w:val="24"/>
          <w:szCs w:val="24"/>
        </w:rPr>
        <w:t xml:space="preserve">, el Tribunal concluye que </w:t>
      </w:r>
      <w:r w:rsidR="0096385A" w:rsidRPr="00815522">
        <w:rPr>
          <w:rFonts w:ascii="Times New Roman" w:hAnsi="Times New Roman" w:cs="Times New Roman"/>
          <w:sz w:val="24"/>
          <w:szCs w:val="24"/>
        </w:rPr>
        <w:t>la medida dispuesta en la normativa accionada pretende, en defensa de un interés público, garantizar el derecho a la salud a nivel colectivo.</w:t>
      </w:r>
    </w:p>
    <w:p w14:paraId="14D85EC9" w14:textId="1F691084" w:rsidR="00A452B3" w:rsidRPr="00815522" w:rsidRDefault="0096385A" w:rsidP="00815522">
      <w:pPr>
        <w:spacing w:line="276" w:lineRule="auto"/>
        <w:jc w:val="both"/>
        <w:rPr>
          <w:rFonts w:ascii="Times New Roman" w:eastAsia="Times New Roman" w:hAnsi="Times New Roman" w:cs="Times New Roman"/>
          <w:color w:val="000000"/>
          <w:sz w:val="24"/>
          <w:szCs w:val="24"/>
        </w:rPr>
      </w:pPr>
      <w:r w:rsidRPr="00815522">
        <w:rPr>
          <w:rFonts w:ascii="Times New Roman" w:hAnsi="Times New Roman" w:cs="Times New Roman"/>
          <w:sz w:val="24"/>
          <w:szCs w:val="24"/>
        </w:rPr>
        <w:t xml:space="preserve">Como parte de sus argumentos, el accionante, un abogado de apellidos </w:t>
      </w:r>
      <w:r w:rsidR="00A452B3" w:rsidRPr="00815522">
        <w:rPr>
          <w:rFonts w:ascii="Times New Roman" w:eastAsia="Times New Roman" w:hAnsi="Times New Roman" w:cs="Times New Roman"/>
          <w:sz w:val="24"/>
          <w:szCs w:val="24"/>
        </w:rPr>
        <w:t xml:space="preserve">Hernández </w:t>
      </w:r>
      <w:proofErr w:type="spellStart"/>
      <w:r w:rsidR="00A452B3" w:rsidRPr="00815522">
        <w:rPr>
          <w:rFonts w:ascii="Times New Roman" w:eastAsia="Times New Roman" w:hAnsi="Times New Roman" w:cs="Times New Roman"/>
          <w:sz w:val="24"/>
          <w:szCs w:val="24"/>
        </w:rPr>
        <w:t>Mussio</w:t>
      </w:r>
      <w:proofErr w:type="spellEnd"/>
      <w:r w:rsidR="00A452B3" w:rsidRPr="00815522">
        <w:rPr>
          <w:rFonts w:ascii="Times New Roman" w:eastAsia="Times New Roman" w:hAnsi="Times New Roman" w:cs="Times New Roman"/>
          <w:sz w:val="24"/>
          <w:szCs w:val="24"/>
        </w:rPr>
        <w:t xml:space="preserve">, </w:t>
      </w:r>
      <w:r w:rsidR="00AC0542" w:rsidRPr="00815522">
        <w:rPr>
          <w:rFonts w:ascii="Times New Roman" w:eastAsia="Times New Roman" w:hAnsi="Times New Roman" w:cs="Times New Roman"/>
          <w:sz w:val="24"/>
          <w:szCs w:val="24"/>
        </w:rPr>
        <w:t>señaló</w:t>
      </w:r>
      <w:r w:rsidR="00A452B3" w:rsidRPr="00815522">
        <w:rPr>
          <w:rFonts w:ascii="Times New Roman" w:eastAsia="Times New Roman" w:hAnsi="Times New Roman" w:cs="Times New Roman"/>
          <w:sz w:val="24"/>
          <w:szCs w:val="24"/>
        </w:rPr>
        <w:t xml:space="preserve"> que el citado decreto lesiona los principios de</w:t>
      </w:r>
      <w:r w:rsidR="00A452B3" w:rsidRPr="00815522">
        <w:rPr>
          <w:rFonts w:ascii="Times New Roman" w:eastAsia="Times New Roman" w:hAnsi="Times New Roman" w:cs="Times New Roman"/>
          <w:color w:val="000000"/>
          <w:sz w:val="24"/>
          <w:szCs w:val="24"/>
        </w:rPr>
        <w:t xml:space="preserve"> igualdad, autodeterminación informativa</w:t>
      </w:r>
      <w:r w:rsidR="00836B78" w:rsidRPr="00815522">
        <w:rPr>
          <w:rFonts w:ascii="Times New Roman" w:eastAsia="Times New Roman" w:hAnsi="Times New Roman" w:cs="Times New Roman"/>
          <w:color w:val="000000"/>
          <w:sz w:val="24"/>
          <w:szCs w:val="24"/>
        </w:rPr>
        <w:t xml:space="preserve"> y</w:t>
      </w:r>
      <w:r w:rsidR="00A452B3" w:rsidRPr="00815522">
        <w:rPr>
          <w:rFonts w:ascii="Times New Roman" w:eastAsia="Times New Roman" w:hAnsi="Times New Roman" w:cs="Times New Roman"/>
          <w:color w:val="000000"/>
          <w:sz w:val="24"/>
          <w:szCs w:val="24"/>
        </w:rPr>
        <w:t xml:space="preserve"> </w:t>
      </w:r>
      <w:r w:rsidR="00836B78" w:rsidRPr="00815522">
        <w:rPr>
          <w:rFonts w:ascii="Times New Roman" w:eastAsia="Times New Roman" w:hAnsi="Times New Roman" w:cs="Times New Roman"/>
          <w:color w:val="000000"/>
          <w:sz w:val="24"/>
          <w:szCs w:val="24"/>
        </w:rPr>
        <w:t>reserva de ley, entre otros, así como el derecho</w:t>
      </w:r>
      <w:r w:rsidR="00A452B3" w:rsidRPr="00815522">
        <w:rPr>
          <w:rFonts w:ascii="Times New Roman" w:eastAsia="Times New Roman" w:hAnsi="Times New Roman" w:cs="Times New Roman"/>
          <w:color w:val="000000"/>
          <w:sz w:val="24"/>
          <w:szCs w:val="24"/>
        </w:rPr>
        <w:t xml:space="preserve"> </w:t>
      </w:r>
      <w:r w:rsidR="00836B78" w:rsidRPr="00815522">
        <w:rPr>
          <w:rFonts w:ascii="Times New Roman" w:eastAsia="Times New Roman" w:hAnsi="Times New Roman" w:cs="Times New Roman"/>
          <w:color w:val="000000"/>
          <w:sz w:val="24"/>
          <w:szCs w:val="24"/>
        </w:rPr>
        <w:t xml:space="preserve">al </w:t>
      </w:r>
      <w:r w:rsidR="00A452B3" w:rsidRPr="00815522">
        <w:rPr>
          <w:rFonts w:ascii="Times New Roman" w:eastAsia="Times New Roman" w:hAnsi="Times New Roman" w:cs="Times New Roman"/>
          <w:color w:val="000000"/>
          <w:sz w:val="24"/>
          <w:szCs w:val="24"/>
        </w:rPr>
        <w:t>consentimiento informado</w:t>
      </w:r>
      <w:r w:rsidR="00836B78" w:rsidRPr="00815522">
        <w:rPr>
          <w:rFonts w:ascii="Times New Roman" w:eastAsia="Times New Roman" w:hAnsi="Times New Roman" w:cs="Times New Roman"/>
          <w:color w:val="000000"/>
          <w:sz w:val="24"/>
          <w:szCs w:val="24"/>
        </w:rPr>
        <w:t xml:space="preserve">. </w:t>
      </w:r>
    </w:p>
    <w:p w14:paraId="4654F4CF" w14:textId="2D1B78E3" w:rsidR="0096385A" w:rsidRPr="00815522" w:rsidRDefault="00836B78" w:rsidP="00815522">
      <w:pPr>
        <w:spacing w:line="276" w:lineRule="auto"/>
        <w:jc w:val="both"/>
        <w:rPr>
          <w:rFonts w:ascii="Times New Roman" w:hAnsi="Times New Roman" w:cs="Times New Roman"/>
          <w:sz w:val="24"/>
          <w:szCs w:val="24"/>
        </w:rPr>
      </w:pPr>
      <w:r w:rsidRPr="00815522">
        <w:rPr>
          <w:rFonts w:ascii="Times New Roman" w:hAnsi="Times New Roman" w:cs="Times New Roman"/>
          <w:sz w:val="24"/>
          <w:szCs w:val="24"/>
        </w:rPr>
        <w:t xml:space="preserve">Todos esos alegatos fueron rechazados por las y los magistrados con base </w:t>
      </w:r>
      <w:r w:rsidR="008E180E">
        <w:rPr>
          <w:rFonts w:ascii="Times New Roman" w:hAnsi="Times New Roman" w:cs="Times New Roman"/>
          <w:sz w:val="24"/>
          <w:szCs w:val="24"/>
        </w:rPr>
        <w:t>en</w:t>
      </w:r>
      <w:r w:rsidRPr="00815522">
        <w:rPr>
          <w:rFonts w:ascii="Times New Roman" w:hAnsi="Times New Roman" w:cs="Times New Roman"/>
          <w:sz w:val="24"/>
          <w:szCs w:val="24"/>
        </w:rPr>
        <w:t xml:space="preserve"> la propia jurisprudencia del Tribunal</w:t>
      </w:r>
      <w:r w:rsidR="00BA49EA">
        <w:rPr>
          <w:rFonts w:ascii="Times New Roman" w:hAnsi="Times New Roman" w:cs="Times New Roman"/>
          <w:sz w:val="24"/>
          <w:szCs w:val="24"/>
        </w:rPr>
        <w:t>, por ejemplo</w:t>
      </w:r>
      <w:r w:rsidR="008E180E">
        <w:rPr>
          <w:rFonts w:ascii="Times New Roman" w:hAnsi="Times New Roman" w:cs="Times New Roman"/>
          <w:sz w:val="24"/>
          <w:szCs w:val="24"/>
        </w:rPr>
        <w:t xml:space="preserve"> se cita</w:t>
      </w:r>
      <w:r w:rsidR="00BA49EA" w:rsidRPr="00BA49EA">
        <w:rPr>
          <w:rFonts w:ascii="Times New Roman" w:hAnsi="Times New Roman" w:cs="Times New Roman"/>
          <w:iCs/>
          <w:sz w:val="24"/>
          <w:szCs w:val="24"/>
        </w:rPr>
        <w:t xml:space="preserve"> </w:t>
      </w:r>
      <w:r w:rsidR="00BA49EA">
        <w:rPr>
          <w:rFonts w:ascii="Times New Roman" w:hAnsi="Times New Roman" w:cs="Times New Roman"/>
          <w:iCs/>
          <w:sz w:val="24"/>
          <w:szCs w:val="24"/>
        </w:rPr>
        <w:t xml:space="preserve">la </w:t>
      </w:r>
      <w:r w:rsidR="00BA49EA" w:rsidRPr="001D38E0">
        <w:rPr>
          <w:rFonts w:ascii="Times New Roman" w:hAnsi="Times New Roman" w:cs="Times New Roman"/>
          <w:iCs/>
          <w:sz w:val="24"/>
          <w:szCs w:val="24"/>
        </w:rPr>
        <w:t xml:space="preserve">sentencia </w:t>
      </w:r>
      <w:r w:rsidR="00BA49EA">
        <w:rPr>
          <w:rFonts w:ascii="Times New Roman" w:hAnsi="Times New Roman" w:cs="Times New Roman"/>
          <w:iCs/>
          <w:sz w:val="24"/>
          <w:szCs w:val="24"/>
        </w:rPr>
        <w:t>N</w:t>
      </w:r>
      <w:r w:rsidR="00BA49EA" w:rsidRPr="001D38E0">
        <w:rPr>
          <w:rFonts w:ascii="Times New Roman" w:hAnsi="Times New Roman" w:cs="Times New Roman"/>
          <w:iCs/>
          <w:sz w:val="24"/>
          <w:szCs w:val="24"/>
        </w:rPr>
        <w:t>°20200019433 de las 09:20 horas de 9 de octubre de 2020</w:t>
      </w:r>
      <w:r w:rsidR="00BA49EA">
        <w:rPr>
          <w:rFonts w:ascii="Times New Roman" w:hAnsi="Times New Roman" w:cs="Times New Roman"/>
          <w:iCs/>
          <w:sz w:val="24"/>
          <w:szCs w:val="24"/>
        </w:rPr>
        <w:t>:</w:t>
      </w:r>
      <w:r w:rsidR="00BA49EA" w:rsidRPr="00BA49EA">
        <w:rPr>
          <w:rFonts w:ascii="Times New Roman" w:hAnsi="Times New Roman" w:cs="Times New Roman"/>
          <w:i/>
          <w:sz w:val="24"/>
          <w:szCs w:val="24"/>
        </w:rPr>
        <w:t xml:space="preserve"> </w:t>
      </w:r>
      <w:r w:rsidR="00BA49EA" w:rsidRPr="007D12D4">
        <w:rPr>
          <w:rFonts w:ascii="Times New Roman" w:hAnsi="Times New Roman" w:cs="Times New Roman"/>
          <w:i/>
          <w:sz w:val="24"/>
          <w:szCs w:val="24"/>
        </w:rPr>
        <w:t xml:space="preserve">“(…) esta Sala ha reconocido, en primer lugar, la importancia de la vacunación como parte de la asistencia sanitaria esencial que debe garantizar el Estado costarricense en aras de proteger el derecho fundamental a la salud de todas las personas, y, en segundo lugar, que el resguardo de la salud pública y la prevención de las enfermedades constituye un fin constitucionalmente legítimo que puede justificar válidamente la obligatoriedad de las vacunas (…)”    </w:t>
      </w:r>
    </w:p>
    <w:p w14:paraId="54B47247" w14:textId="60D6C126" w:rsidR="00BA49EA" w:rsidRPr="00BA49EA" w:rsidRDefault="00BA49EA" w:rsidP="00815522">
      <w:pPr>
        <w:spacing w:line="276" w:lineRule="auto"/>
        <w:jc w:val="both"/>
        <w:rPr>
          <w:rFonts w:ascii="Times New Roman" w:eastAsia="Times New Roman" w:hAnsi="Times New Roman" w:cs="Times New Roman"/>
          <w:b/>
          <w:i/>
          <w:sz w:val="24"/>
          <w:szCs w:val="24"/>
        </w:rPr>
      </w:pPr>
      <w:r>
        <w:rPr>
          <w:rFonts w:ascii="Times New Roman" w:hAnsi="Times New Roman" w:cs="Times New Roman"/>
          <w:sz w:val="24"/>
          <w:szCs w:val="24"/>
        </w:rPr>
        <w:lastRenderedPageBreak/>
        <w:t>Asimismo, la</w:t>
      </w:r>
      <w:r w:rsidR="007D12D4" w:rsidRPr="00815522">
        <w:rPr>
          <w:rFonts w:ascii="Times New Roman" w:hAnsi="Times New Roman" w:cs="Times New Roman"/>
          <w:sz w:val="24"/>
          <w:szCs w:val="24"/>
        </w:rPr>
        <w:t xml:space="preserve"> Sala subrayó</w:t>
      </w:r>
      <w:r>
        <w:rPr>
          <w:rFonts w:ascii="Times New Roman" w:hAnsi="Times New Roman" w:cs="Times New Roman"/>
          <w:sz w:val="24"/>
          <w:szCs w:val="24"/>
        </w:rPr>
        <w:t xml:space="preserve"> </w:t>
      </w:r>
      <w:r w:rsidR="007D12D4" w:rsidRPr="00AC0542">
        <w:rPr>
          <w:rFonts w:ascii="Times New Roman" w:hAnsi="Times New Roman" w:cs="Times New Roman"/>
          <w:sz w:val="24"/>
          <w:szCs w:val="24"/>
        </w:rPr>
        <w:t xml:space="preserve">que </w:t>
      </w:r>
      <w:r w:rsidR="007D12D4" w:rsidRPr="00AC0542">
        <w:rPr>
          <w:rFonts w:ascii="Times New Roman" w:eastAsia="Times New Roman" w:hAnsi="Times New Roman" w:cs="Times New Roman"/>
          <w:sz w:val="24"/>
          <w:szCs w:val="24"/>
        </w:rPr>
        <w:t xml:space="preserve">no </w:t>
      </w:r>
      <w:r w:rsidR="00AC0542">
        <w:rPr>
          <w:rFonts w:ascii="Times New Roman" w:eastAsia="Times New Roman" w:hAnsi="Times New Roman" w:cs="Times New Roman"/>
          <w:sz w:val="24"/>
          <w:szCs w:val="24"/>
        </w:rPr>
        <w:t xml:space="preserve">existe </w:t>
      </w:r>
      <w:r>
        <w:rPr>
          <w:rFonts w:ascii="Times New Roman" w:eastAsia="Times New Roman" w:hAnsi="Times New Roman" w:cs="Times New Roman"/>
          <w:sz w:val="24"/>
          <w:szCs w:val="24"/>
        </w:rPr>
        <w:t>una vulneración</w:t>
      </w:r>
      <w:r w:rsidR="00AC0542">
        <w:rPr>
          <w:rFonts w:ascii="Times New Roman" w:eastAsia="Times New Roman" w:hAnsi="Times New Roman" w:cs="Times New Roman"/>
          <w:sz w:val="24"/>
          <w:szCs w:val="24"/>
        </w:rPr>
        <w:t xml:space="preserve"> a</w:t>
      </w:r>
      <w:r w:rsidR="007D12D4" w:rsidRPr="00AC0542">
        <w:rPr>
          <w:rFonts w:ascii="Times New Roman" w:eastAsia="Times New Roman" w:hAnsi="Times New Roman" w:cs="Times New Roman"/>
          <w:sz w:val="24"/>
          <w:szCs w:val="24"/>
        </w:rPr>
        <w:t>l principio de reserva de Ley, toda vez que la aplicación obligatoria de la vacuna contra el covid-19 fue definida por la Comisión Nacional de Vacunación y Epidemiologia, de conformidad con las potestades otorgadas por la Ley Nacional de Vacunación.</w:t>
      </w:r>
    </w:p>
    <w:p w14:paraId="70A43378" w14:textId="5DCDD0DF" w:rsidR="0096385A" w:rsidRDefault="00815522" w:rsidP="00A67930">
      <w:pPr>
        <w:spacing w:line="276" w:lineRule="auto"/>
        <w:jc w:val="both"/>
        <w:rPr>
          <w:rFonts w:ascii="Times New Roman" w:eastAsia="Times New Roman" w:hAnsi="Times New Roman" w:cs="Times New Roman"/>
          <w:sz w:val="24"/>
          <w:szCs w:val="24"/>
        </w:rPr>
      </w:pPr>
      <w:r w:rsidRPr="00815522">
        <w:rPr>
          <w:rFonts w:ascii="Times New Roman" w:hAnsi="Times New Roman" w:cs="Times New Roman"/>
          <w:sz w:val="24"/>
          <w:szCs w:val="24"/>
        </w:rPr>
        <w:t xml:space="preserve">En cuanto a la autodeterminación informativa, el </w:t>
      </w:r>
      <w:r w:rsidRPr="00815522">
        <w:rPr>
          <w:rFonts w:ascii="Times New Roman" w:eastAsia="Times New Roman" w:hAnsi="Times New Roman" w:cs="Times New Roman"/>
          <w:sz w:val="24"/>
          <w:szCs w:val="24"/>
        </w:rPr>
        <w:t xml:space="preserve">Tribunal </w:t>
      </w:r>
      <w:r w:rsidR="00BA49EA">
        <w:rPr>
          <w:rFonts w:ascii="Times New Roman" w:eastAsia="Times New Roman" w:hAnsi="Times New Roman" w:cs="Times New Roman"/>
          <w:sz w:val="24"/>
          <w:szCs w:val="24"/>
        </w:rPr>
        <w:t>destacó</w:t>
      </w:r>
      <w:r w:rsidRPr="00815522">
        <w:rPr>
          <w:rFonts w:ascii="Times New Roman" w:eastAsia="Times New Roman" w:hAnsi="Times New Roman" w:cs="Times New Roman"/>
          <w:sz w:val="24"/>
          <w:szCs w:val="24"/>
        </w:rPr>
        <w:t xml:space="preserve"> que </w:t>
      </w:r>
      <w:r w:rsidR="00BA49EA" w:rsidRPr="00815522">
        <w:rPr>
          <w:rFonts w:ascii="Times New Roman" w:eastAsia="Times New Roman" w:hAnsi="Times New Roman" w:cs="Times New Roman"/>
          <w:sz w:val="24"/>
          <w:szCs w:val="24"/>
        </w:rPr>
        <w:t>a</w:t>
      </w:r>
      <w:r w:rsidR="00010345">
        <w:rPr>
          <w:rFonts w:ascii="Times New Roman" w:eastAsia="Times New Roman" w:hAnsi="Times New Roman" w:cs="Times New Roman"/>
          <w:sz w:val="24"/>
          <w:szCs w:val="24"/>
        </w:rPr>
        <w:t>u</w:t>
      </w:r>
      <w:r w:rsidR="00BA49EA">
        <w:rPr>
          <w:rFonts w:ascii="Times New Roman" w:eastAsia="Times New Roman" w:hAnsi="Times New Roman" w:cs="Times New Roman"/>
          <w:sz w:val="24"/>
          <w:szCs w:val="24"/>
        </w:rPr>
        <w:t>n</w:t>
      </w:r>
      <w:r w:rsidRPr="00815522">
        <w:rPr>
          <w:rFonts w:ascii="Times New Roman" w:eastAsia="Times New Roman" w:hAnsi="Times New Roman" w:cs="Times New Roman"/>
          <w:sz w:val="24"/>
          <w:szCs w:val="24"/>
        </w:rPr>
        <w:t xml:space="preserve"> cuando la vacunación resulte obligatoria para aquellos casos en que no esté médicamente contraindicada, debe brindarse la información necesaria a la persona, a los efectos de resguardar previamente su vida y salud,  para ello existen otras disposiciones que complementan el decreto impugnado en relación con el deber de brindar la información suficiente y adecuada de previo a la vacunación; así como normativa especial que ordena el resguardo de los datos privados de las personas, </w:t>
      </w:r>
      <w:r w:rsidR="00BA49EA">
        <w:rPr>
          <w:rFonts w:ascii="Times New Roman" w:eastAsia="Times New Roman" w:hAnsi="Times New Roman" w:cs="Times New Roman"/>
          <w:sz w:val="24"/>
          <w:szCs w:val="24"/>
        </w:rPr>
        <w:t>la cual</w:t>
      </w:r>
      <w:r w:rsidRPr="00815522">
        <w:rPr>
          <w:rFonts w:ascii="Times New Roman" w:eastAsia="Times New Roman" w:hAnsi="Times New Roman" w:cs="Times New Roman"/>
          <w:sz w:val="24"/>
          <w:szCs w:val="24"/>
        </w:rPr>
        <w:t xml:space="preserve"> debe ser garantizada por organismos públicos o privados</w:t>
      </w:r>
      <w:r w:rsidR="00F80FC3">
        <w:rPr>
          <w:rFonts w:ascii="Times New Roman" w:eastAsia="Times New Roman" w:hAnsi="Times New Roman" w:cs="Times New Roman"/>
          <w:sz w:val="24"/>
          <w:szCs w:val="24"/>
        </w:rPr>
        <w:t>.</w:t>
      </w:r>
    </w:p>
    <w:p w14:paraId="5983E67A" w14:textId="5AA21906" w:rsidR="009D05C1" w:rsidRDefault="009432CE" w:rsidP="009D05C1">
      <w:pPr>
        <w:spacing w:line="276" w:lineRule="auto"/>
        <w:jc w:val="both"/>
        <w:rPr>
          <w:rFonts w:ascii="Times New Roman" w:eastAsia="Times New Roman" w:hAnsi="Times New Roman" w:cs="Times New Roman"/>
          <w:sz w:val="24"/>
          <w:szCs w:val="24"/>
        </w:rPr>
      </w:pPr>
      <w:r w:rsidRPr="00827084">
        <w:rPr>
          <w:rFonts w:ascii="Times New Roman" w:eastAsia="Times New Roman" w:hAnsi="Times New Roman" w:cs="Times New Roman"/>
          <w:sz w:val="24"/>
          <w:szCs w:val="24"/>
        </w:rPr>
        <w:t>El magistrado Rueda Leal</w:t>
      </w:r>
      <w:r w:rsidR="009F5A1E" w:rsidRPr="00827084">
        <w:rPr>
          <w:rFonts w:ascii="Times New Roman" w:eastAsia="Times New Roman" w:hAnsi="Times New Roman" w:cs="Times New Roman"/>
          <w:sz w:val="24"/>
          <w:szCs w:val="24"/>
        </w:rPr>
        <w:t>, siguiendo su línea de votación de muchos casos,</w:t>
      </w:r>
      <w:r w:rsidRPr="00827084">
        <w:rPr>
          <w:rFonts w:ascii="Times New Roman" w:eastAsia="Times New Roman" w:hAnsi="Times New Roman" w:cs="Times New Roman"/>
          <w:sz w:val="24"/>
          <w:szCs w:val="24"/>
        </w:rPr>
        <w:t xml:space="preserve"> salv</w:t>
      </w:r>
      <w:r w:rsidR="009F5A1E" w:rsidRPr="00827084">
        <w:rPr>
          <w:rFonts w:ascii="Times New Roman" w:eastAsia="Times New Roman" w:hAnsi="Times New Roman" w:cs="Times New Roman"/>
          <w:sz w:val="24"/>
          <w:szCs w:val="24"/>
        </w:rPr>
        <w:t>ó</w:t>
      </w:r>
      <w:r w:rsidRPr="00827084">
        <w:rPr>
          <w:rFonts w:ascii="Times New Roman" w:eastAsia="Times New Roman" w:hAnsi="Times New Roman" w:cs="Times New Roman"/>
          <w:sz w:val="24"/>
          <w:szCs w:val="24"/>
        </w:rPr>
        <w:t xml:space="preserve"> el voto por considerar que la decisión de rechazar la acción es prematura. </w:t>
      </w:r>
      <w:r w:rsidR="009F5A1E" w:rsidRPr="00827084">
        <w:rPr>
          <w:rFonts w:ascii="Times New Roman" w:eastAsia="Times New Roman" w:hAnsi="Times New Roman" w:cs="Times New Roman"/>
          <w:sz w:val="24"/>
          <w:szCs w:val="24"/>
        </w:rPr>
        <w:t>Según su criterio, d</w:t>
      </w:r>
      <w:r w:rsidRPr="00827084">
        <w:rPr>
          <w:rFonts w:ascii="Times New Roman" w:eastAsia="Times New Roman" w:hAnsi="Times New Roman" w:cs="Times New Roman"/>
          <w:sz w:val="24"/>
          <w:szCs w:val="24"/>
        </w:rPr>
        <w:t xml:space="preserve">e acuerdo con </w:t>
      </w:r>
      <w:r w:rsidR="009D05C1" w:rsidRPr="00827084">
        <w:rPr>
          <w:rFonts w:ascii="Times New Roman" w:eastAsia="Times New Roman" w:hAnsi="Times New Roman" w:cs="Times New Roman"/>
          <w:sz w:val="24"/>
          <w:szCs w:val="24"/>
        </w:rPr>
        <w:t>los artículos 78,79 y 80</w:t>
      </w:r>
      <w:r w:rsidRPr="00827084">
        <w:rPr>
          <w:rFonts w:ascii="Times New Roman" w:eastAsia="Times New Roman" w:hAnsi="Times New Roman" w:cs="Times New Roman"/>
          <w:sz w:val="24"/>
          <w:szCs w:val="24"/>
          <w:lang w:eastAsia="es-CR"/>
        </w:rPr>
        <w:t xml:space="preserve"> de la Ley de la Jurisdicción Constitucional, cuando </w:t>
      </w:r>
      <w:r w:rsidR="009D05C1" w:rsidRPr="00827084">
        <w:rPr>
          <w:rFonts w:ascii="Times New Roman" w:eastAsia="Times New Roman" w:hAnsi="Times New Roman" w:cs="Times New Roman"/>
          <w:sz w:val="24"/>
          <w:szCs w:val="24"/>
          <w:lang w:eastAsia="es-CR"/>
        </w:rPr>
        <w:t xml:space="preserve">una acción carece de </w:t>
      </w:r>
      <w:r w:rsidR="009D05C1" w:rsidRPr="00827084">
        <w:rPr>
          <w:rFonts w:ascii="Times New Roman" w:eastAsia="Times New Roman" w:hAnsi="Times New Roman" w:cs="Times New Roman"/>
          <w:sz w:val="24"/>
          <w:szCs w:val="24"/>
        </w:rPr>
        <w:t xml:space="preserve">una fundamentación adecuada y suficiente, lo que </w:t>
      </w:r>
      <w:r w:rsidR="009F5A1E" w:rsidRPr="00827084">
        <w:rPr>
          <w:rFonts w:ascii="Times New Roman" w:eastAsia="Times New Roman" w:hAnsi="Times New Roman" w:cs="Times New Roman"/>
          <w:sz w:val="24"/>
          <w:szCs w:val="24"/>
        </w:rPr>
        <w:t>técnicamente</w:t>
      </w:r>
      <w:r w:rsidR="009D05C1" w:rsidRPr="00827084">
        <w:rPr>
          <w:rFonts w:ascii="Times New Roman" w:eastAsia="Times New Roman" w:hAnsi="Times New Roman" w:cs="Times New Roman"/>
          <w:sz w:val="24"/>
          <w:szCs w:val="24"/>
        </w:rPr>
        <w:t xml:space="preserve"> procede es </w:t>
      </w:r>
      <w:r w:rsidR="009F5A1E" w:rsidRPr="00827084">
        <w:rPr>
          <w:rFonts w:ascii="Times New Roman" w:eastAsia="Times New Roman" w:hAnsi="Times New Roman" w:cs="Times New Roman"/>
          <w:sz w:val="24"/>
          <w:szCs w:val="24"/>
        </w:rPr>
        <w:t xml:space="preserve">prevenir </w:t>
      </w:r>
      <w:r w:rsidR="009D05C1" w:rsidRPr="00827084">
        <w:rPr>
          <w:rFonts w:ascii="Times New Roman" w:eastAsia="Times New Roman" w:hAnsi="Times New Roman" w:cs="Times New Roman"/>
          <w:sz w:val="24"/>
          <w:szCs w:val="24"/>
        </w:rPr>
        <w:t>al accionante para que remedie la omisión detectada</w:t>
      </w:r>
      <w:r w:rsidR="009F5A1E" w:rsidRPr="00827084">
        <w:rPr>
          <w:rFonts w:ascii="Times New Roman" w:eastAsia="Times New Roman" w:hAnsi="Times New Roman" w:cs="Times New Roman"/>
          <w:sz w:val="24"/>
          <w:szCs w:val="24"/>
        </w:rPr>
        <w:t>.</w:t>
      </w:r>
    </w:p>
    <w:p w14:paraId="470DB4C0" w14:textId="77777777" w:rsidR="0096385A" w:rsidRDefault="0096385A" w:rsidP="00A67930">
      <w:pPr>
        <w:spacing w:line="276" w:lineRule="auto"/>
        <w:jc w:val="both"/>
        <w:rPr>
          <w:rFonts w:ascii="Arial" w:hAnsi="Arial" w:cs="Arial"/>
          <w:sz w:val="24"/>
          <w:szCs w:val="24"/>
        </w:rPr>
      </w:pPr>
    </w:p>
    <w:tbl>
      <w:tblPr>
        <w:tblStyle w:val="Tablaconcuadrcula1"/>
        <w:tblW w:w="0" w:type="auto"/>
        <w:tblLook w:val="04A0" w:firstRow="1" w:lastRow="0" w:firstColumn="1" w:lastColumn="0" w:noHBand="0" w:noVBand="1"/>
      </w:tblPr>
      <w:tblGrid>
        <w:gridCol w:w="2405"/>
        <w:gridCol w:w="6423"/>
      </w:tblGrid>
      <w:tr w:rsidR="00A67930" w:rsidRPr="003C65C4" w14:paraId="56F03BE6" w14:textId="77777777" w:rsidTr="00CC082A">
        <w:trPr>
          <w:trHeight w:val="742"/>
        </w:trPr>
        <w:tc>
          <w:tcPr>
            <w:tcW w:w="2405" w:type="dxa"/>
            <w:shd w:val="clear" w:color="auto" w:fill="BDD6EE"/>
          </w:tcPr>
          <w:p w14:paraId="53A6D963" w14:textId="77777777" w:rsidR="00A67930" w:rsidRPr="003C65C4" w:rsidRDefault="00A67930" w:rsidP="003C65C4">
            <w:pPr>
              <w:spacing w:after="200"/>
              <w:jc w:val="both"/>
              <w:rPr>
                <w:rFonts w:ascii="Times New Roman" w:eastAsia="Calibri" w:hAnsi="Times New Roman" w:cs="Times New Roman"/>
                <w:sz w:val="24"/>
                <w:szCs w:val="24"/>
              </w:rPr>
            </w:pPr>
            <w:r w:rsidRPr="003C65C4">
              <w:rPr>
                <w:rFonts w:ascii="Times New Roman" w:eastAsia="Calibri" w:hAnsi="Times New Roman" w:cs="Times New Roman"/>
                <w:sz w:val="24"/>
                <w:szCs w:val="24"/>
              </w:rPr>
              <w:t>Número de fallo:</w:t>
            </w:r>
          </w:p>
        </w:tc>
        <w:tc>
          <w:tcPr>
            <w:tcW w:w="6423" w:type="dxa"/>
          </w:tcPr>
          <w:p w14:paraId="42EE9C55" w14:textId="1DB4FFDC" w:rsidR="00A67930" w:rsidRPr="003C65C4" w:rsidRDefault="00161341" w:rsidP="003C65C4">
            <w:pPr>
              <w:spacing w:after="200"/>
              <w:jc w:val="both"/>
              <w:rPr>
                <w:rFonts w:ascii="Times New Roman" w:eastAsia="Calibri" w:hAnsi="Times New Roman" w:cs="Times New Roman"/>
                <w:sz w:val="24"/>
                <w:szCs w:val="24"/>
              </w:rPr>
            </w:pPr>
            <w:r w:rsidRPr="003C65C4">
              <w:rPr>
                <w:rFonts w:ascii="Times New Roman" w:hAnsi="Times New Roman" w:cs="Times New Roman"/>
                <w:sz w:val="24"/>
                <w:szCs w:val="24"/>
              </w:rPr>
              <w:t>N°202</w:t>
            </w:r>
            <w:r w:rsidR="003C65C4">
              <w:rPr>
                <w:rFonts w:ascii="Times New Roman" w:hAnsi="Times New Roman" w:cs="Times New Roman"/>
                <w:sz w:val="24"/>
                <w:szCs w:val="24"/>
              </w:rPr>
              <w:t>2</w:t>
            </w:r>
            <w:r w:rsidRPr="003C65C4">
              <w:rPr>
                <w:rFonts w:ascii="Times New Roman" w:hAnsi="Times New Roman" w:cs="Times New Roman"/>
                <w:sz w:val="24"/>
                <w:szCs w:val="24"/>
              </w:rPr>
              <w:t>00</w:t>
            </w:r>
            <w:r w:rsidR="00886106" w:rsidRPr="003C65C4">
              <w:rPr>
                <w:rFonts w:ascii="Times New Roman" w:hAnsi="Times New Roman" w:cs="Times New Roman"/>
                <w:sz w:val="24"/>
                <w:szCs w:val="24"/>
              </w:rPr>
              <w:t>37</w:t>
            </w:r>
            <w:r w:rsidRPr="003C65C4">
              <w:rPr>
                <w:rFonts w:ascii="Times New Roman" w:hAnsi="Times New Roman" w:cs="Times New Roman"/>
                <w:sz w:val="24"/>
                <w:szCs w:val="24"/>
              </w:rPr>
              <w:t>4</w:t>
            </w:r>
          </w:p>
        </w:tc>
      </w:tr>
      <w:tr w:rsidR="00A67930" w:rsidRPr="003C65C4" w14:paraId="2E85C6BE" w14:textId="77777777" w:rsidTr="00CC082A">
        <w:trPr>
          <w:trHeight w:val="707"/>
        </w:trPr>
        <w:tc>
          <w:tcPr>
            <w:tcW w:w="2405" w:type="dxa"/>
            <w:tcBorders>
              <w:bottom w:val="nil"/>
            </w:tcBorders>
            <w:shd w:val="clear" w:color="auto" w:fill="DEEAF6"/>
          </w:tcPr>
          <w:p w14:paraId="5936CA48" w14:textId="77777777" w:rsidR="00A67930" w:rsidRPr="003C65C4" w:rsidRDefault="00A67930" w:rsidP="003C65C4">
            <w:pPr>
              <w:spacing w:after="200"/>
              <w:jc w:val="both"/>
              <w:rPr>
                <w:rFonts w:ascii="Times New Roman" w:eastAsia="Calibri" w:hAnsi="Times New Roman" w:cs="Times New Roman"/>
                <w:sz w:val="24"/>
                <w:szCs w:val="24"/>
              </w:rPr>
            </w:pPr>
            <w:r w:rsidRPr="003C65C4">
              <w:rPr>
                <w:rFonts w:ascii="Times New Roman" w:eastAsia="Calibri" w:hAnsi="Times New Roman" w:cs="Times New Roman"/>
                <w:sz w:val="24"/>
                <w:szCs w:val="24"/>
              </w:rPr>
              <w:t>Número de expediente:</w:t>
            </w:r>
          </w:p>
        </w:tc>
        <w:tc>
          <w:tcPr>
            <w:tcW w:w="6423" w:type="dxa"/>
            <w:tcBorders>
              <w:bottom w:val="nil"/>
            </w:tcBorders>
          </w:tcPr>
          <w:p w14:paraId="25FB234B" w14:textId="6C717D92" w:rsidR="00A67930" w:rsidRPr="003C65C4" w:rsidRDefault="00A67930" w:rsidP="003C65C4">
            <w:pPr>
              <w:spacing w:after="200"/>
              <w:jc w:val="both"/>
              <w:rPr>
                <w:rFonts w:ascii="Times New Roman" w:eastAsia="Calibri" w:hAnsi="Times New Roman" w:cs="Times New Roman"/>
                <w:bCs/>
                <w:sz w:val="24"/>
                <w:szCs w:val="24"/>
              </w:rPr>
            </w:pPr>
            <w:r w:rsidRPr="003C65C4">
              <w:rPr>
                <w:rFonts w:ascii="Times New Roman" w:eastAsia="Times New Roman" w:hAnsi="Times New Roman" w:cs="Times New Roman"/>
                <w:bCs/>
                <w:sz w:val="24"/>
                <w:szCs w:val="24"/>
              </w:rPr>
              <w:t>21-022341-0007-CO</w:t>
            </w:r>
          </w:p>
        </w:tc>
      </w:tr>
      <w:tr w:rsidR="00A67930" w:rsidRPr="003C65C4" w14:paraId="24624A8B" w14:textId="77777777" w:rsidTr="00CC082A">
        <w:tc>
          <w:tcPr>
            <w:tcW w:w="2405" w:type="dxa"/>
            <w:tcBorders>
              <w:top w:val="nil"/>
            </w:tcBorders>
            <w:shd w:val="clear" w:color="auto" w:fill="BDD6EE"/>
          </w:tcPr>
          <w:p w14:paraId="1F7F10DD" w14:textId="77777777" w:rsidR="00A67930" w:rsidRPr="003C65C4" w:rsidRDefault="00A67930" w:rsidP="003C65C4">
            <w:pPr>
              <w:spacing w:after="200"/>
              <w:jc w:val="both"/>
              <w:rPr>
                <w:rFonts w:ascii="Times New Roman" w:eastAsia="Calibri" w:hAnsi="Times New Roman" w:cs="Times New Roman"/>
                <w:sz w:val="24"/>
                <w:szCs w:val="24"/>
              </w:rPr>
            </w:pPr>
            <w:r w:rsidRPr="003C65C4">
              <w:rPr>
                <w:rFonts w:ascii="Times New Roman" w:eastAsia="Calibri" w:hAnsi="Times New Roman" w:cs="Times New Roman"/>
                <w:sz w:val="24"/>
                <w:szCs w:val="24"/>
              </w:rPr>
              <w:t>Fecha de votación</w:t>
            </w:r>
          </w:p>
        </w:tc>
        <w:tc>
          <w:tcPr>
            <w:tcW w:w="6423" w:type="dxa"/>
            <w:tcBorders>
              <w:top w:val="nil"/>
            </w:tcBorders>
          </w:tcPr>
          <w:p w14:paraId="45A9F67F" w14:textId="065360AF" w:rsidR="00A67930" w:rsidRPr="003C65C4" w:rsidRDefault="00A67930" w:rsidP="003C65C4">
            <w:pPr>
              <w:spacing w:after="200"/>
              <w:jc w:val="both"/>
              <w:rPr>
                <w:rFonts w:ascii="Times New Roman" w:eastAsia="Calibri" w:hAnsi="Times New Roman" w:cs="Times New Roman"/>
                <w:sz w:val="24"/>
                <w:szCs w:val="24"/>
                <w:shd w:val="clear" w:color="auto" w:fill="FFFFFF"/>
              </w:rPr>
            </w:pPr>
            <w:r w:rsidRPr="003C65C4">
              <w:rPr>
                <w:rFonts w:ascii="Times New Roman" w:eastAsia="Calibri" w:hAnsi="Times New Roman" w:cs="Times New Roman"/>
                <w:sz w:val="24"/>
                <w:szCs w:val="24"/>
                <w:shd w:val="clear" w:color="auto" w:fill="FFFFFF"/>
              </w:rPr>
              <w:t xml:space="preserve">Miércoles </w:t>
            </w:r>
            <w:r w:rsidR="00941AE2" w:rsidRPr="003C65C4">
              <w:rPr>
                <w:rFonts w:ascii="Times New Roman" w:eastAsia="Calibri" w:hAnsi="Times New Roman" w:cs="Times New Roman"/>
                <w:sz w:val="24"/>
                <w:szCs w:val="24"/>
                <w:shd w:val="clear" w:color="auto" w:fill="FFFFFF"/>
              </w:rPr>
              <w:t>5</w:t>
            </w:r>
            <w:r w:rsidRPr="003C65C4">
              <w:rPr>
                <w:rFonts w:ascii="Times New Roman" w:eastAsia="Calibri" w:hAnsi="Times New Roman" w:cs="Times New Roman"/>
                <w:sz w:val="24"/>
                <w:szCs w:val="24"/>
                <w:shd w:val="clear" w:color="auto" w:fill="FFFFFF"/>
              </w:rPr>
              <w:t xml:space="preserve"> de enero de 2022</w:t>
            </w:r>
          </w:p>
        </w:tc>
      </w:tr>
      <w:tr w:rsidR="0025778C" w:rsidRPr="003C65C4" w14:paraId="4ADE9077" w14:textId="77777777" w:rsidTr="00CC082A">
        <w:tc>
          <w:tcPr>
            <w:tcW w:w="2405" w:type="dxa"/>
            <w:shd w:val="clear" w:color="auto" w:fill="DEEAF6"/>
          </w:tcPr>
          <w:p w14:paraId="4143AD61" w14:textId="06CF0C6A" w:rsidR="0025778C" w:rsidRPr="003C65C4" w:rsidRDefault="0025778C" w:rsidP="003C65C4">
            <w:pPr>
              <w:spacing w:after="200"/>
              <w:jc w:val="both"/>
              <w:rPr>
                <w:rFonts w:ascii="Times New Roman" w:eastAsia="Calibri" w:hAnsi="Times New Roman" w:cs="Times New Roman"/>
                <w:sz w:val="24"/>
                <w:szCs w:val="24"/>
              </w:rPr>
            </w:pPr>
            <w:r w:rsidRPr="003C65C4">
              <w:rPr>
                <w:rFonts w:ascii="Times New Roman" w:eastAsia="Calibri" w:hAnsi="Times New Roman" w:cs="Times New Roman"/>
                <w:sz w:val="24"/>
                <w:szCs w:val="24"/>
              </w:rPr>
              <w:t>Norma accionada:</w:t>
            </w:r>
          </w:p>
        </w:tc>
        <w:tc>
          <w:tcPr>
            <w:tcW w:w="6423" w:type="dxa"/>
          </w:tcPr>
          <w:p w14:paraId="5C5F30C3" w14:textId="6159B824" w:rsidR="0025778C" w:rsidRPr="003C65C4" w:rsidRDefault="003C65C4" w:rsidP="003C65C4">
            <w:pPr>
              <w:spacing w:after="200"/>
              <w:jc w:val="both"/>
              <w:rPr>
                <w:rFonts w:ascii="Times New Roman" w:eastAsia="Times New Roman" w:hAnsi="Times New Roman" w:cs="Times New Roman"/>
                <w:sz w:val="24"/>
                <w:szCs w:val="24"/>
                <w:lang w:eastAsia="es-CR"/>
              </w:rPr>
            </w:pPr>
            <w:r w:rsidRPr="003C65C4">
              <w:rPr>
                <w:rFonts w:ascii="Times New Roman" w:eastAsia="Times New Roman" w:hAnsi="Times New Roman" w:cs="Times New Roman"/>
                <w:sz w:val="24"/>
                <w:szCs w:val="24"/>
              </w:rPr>
              <w:t xml:space="preserve">Decreto Ejecutivo </w:t>
            </w:r>
            <w:r>
              <w:rPr>
                <w:rFonts w:ascii="Times New Roman" w:eastAsia="Times New Roman" w:hAnsi="Times New Roman" w:cs="Times New Roman"/>
                <w:sz w:val="24"/>
                <w:szCs w:val="24"/>
              </w:rPr>
              <w:t>N</w:t>
            </w:r>
            <w:r w:rsidRPr="003C65C4">
              <w:rPr>
                <w:rFonts w:ascii="Times New Roman" w:eastAsia="Times New Roman" w:hAnsi="Times New Roman" w:cs="Times New Roman"/>
                <w:sz w:val="24"/>
                <w:szCs w:val="24"/>
              </w:rPr>
              <w:t xml:space="preserve">°42889-S del 10 de marzo de 2021, reformado parcialmente mediante el Decreto Ejecutivo </w:t>
            </w:r>
            <w:proofErr w:type="spellStart"/>
            <w:r>
              <w:rPr>
                <w:rFonts w:ascii="Times New Roman" w:eastAsia="Times New Roman" w:hAnsi="Times New Roman" w:cs="Times New Roman"/>
                <w:sz w:val="24"/>
                <w:szCs w:val="24"/>
              </w:rPr>
              <w:t>N</w:t>
            </w:r>
            <w:r w:rsidRPr="003C65C4">
              <w:rPr>
                <w:rFonts w:ascii="Times New Roman" w:eastAsia="Times New Roman" w:hAnsi="Times New Roman" w:cs="Times New Roman"/>
                <w:sz w:val="24"/>
                <w:szCs w:val="24"/>
              </w:rPr>
              <w:t>°</w:t>
            </w:r>
            <w:proofErr w:type="spellEnd"/>
            <w:r w:rsidRPr="003C65C4">
              <w:rPr>
                <w:rFonts w:ascii="Times New Roman" w:eastAsia="Times New Roman" w:hAnsi="Times New Roman" w:cs="Times New Roman"/>
                <w:sz w:val="24"/>
                <w:szCs w:val="24"/>
              </w:rPr>
              <w:t xml:space="preserve"> 43249-S del 7 de octubre de 2021</w:t>
            </w:r>
          </w:p>
        </w:tc>
      </w:tr>
      <w:tr w:rsidR="00A67930" w:rsidRPr="003C65C4" w14:paraId="1229F813" w14:textId="77777777" w:rsidTr="00CC082A">
        <w:tc>
          <w:tcPr>
            <w:tcW w:w="2405" w:type="dxa"/>
            <w:shd w:val="clear" w:color="auto" w:fill="DEEAF6"/>
          </w:tcPr>
          <w:p w14:paraId="69D27941" w14:textId="77777777" w:rsidR="00A67930" w:rsidRPr="003C65C4" w:rsidRDefault="00A67930" w:rsidP="003C65C4">
            <w:pPr>
              <w:spacing w:after="200"/>
              <w:jc w:val="both"/>
              <w:rPr>
                <w:rFonts w:ascii="Times New Roman" w:eastAsia="Calibri" w:hAnsi="Times New Roman" w:cs="Times New Roman"/>
                <w:sz w:val="24"/>
                <w:szCs w:val="24"/>
              </w:rPr>
            </w:pPr>
            <w:r w:rsidRPr="003C65C4">
              <w:rPr>
                <w:rFonts w:ascii="Times New Roman" w:eastAsia="Calibri" w:hAnsi="Times New Roman" w:cs="Times New Roman"/>
                <w:sz w:val="24"/>
                <w:szCs w:val="24"/>
              </w:rPr>
              <w:t>Por tanto:</w:t>
            </w:r>
          </w:p>
        </w:tc>
        <w:tc>
          <w:tcPr>
            <w:tcW w:w="6423" w:type="dxa"/>
          </w:tcPr>
          <w:p w14:paraId="4A82ACBF" w14:textId="1A219211" w:rsidR="00A67930" w:rsidRPr="003C65C4" w:rsidRDefault="00941AE2" w:rsidP="003C65C4">
            <w:pPr>
              <w:spacing w:after="200"/>
              <w:jc w:val="both"/>
              <w:rPr>
                <w:rFonts w:ascii="Times New Roman" w:eastAsia="Times New Roman" w:hAnsi="Times New Roman" w:cs="Times New Roman"/>
                <w:sz w:val="24"/>
                <w:szCs w:val="24"/>
                <w:lang w:eastAsia="es-CR"/>
              </w:rPr>
            </w:pPr>
            <w:r w:rsidRPr="003C65C4">
              <w:rPr>
                <w:rFonts w:ascii="Times New Roman" w:eastAsia="Times New Roman" w:hAnsi="Times New Roman" w:cs="Times New Roman"/>
                <w:sz w:val="24"/>
                <w:szCs w:val="24"/>
                <w:lang w:eastAsia="es-CR"/>
              </w:rPr>
              <w:t>Se rechaza por el fondo la acción respecto de la alegada violación a los principios del consentimiento informado, de jerarquía de las normas, de convencionalidad, de reserva de ley, de autodeterminación informativa; y del derecho a la vida y la salud. En lo demás, se rechaza de plano la acción. Se rechaza la gestión de coadyuvancia. El magistrado Castillo Víquez consigna nota. Por motivos de forma y sin referirse al fondo, el magistrado Rueda Leal salva el voto y ordena hacer la prevención del artículo 80 de la Ley de la Jurisdicción Constitucional.</w:t>
            </w:r>
          </w:p>
        </w:tc>
      </w:tr>
    </w:tbl>
    <w:tbl>
      <w:tblPr>
        <w:tblStyle w:val="Tablaconcuadrcula"/>
        <w:tblW w:w="0" w:type="auto"/>
        <w:tblLook w:val="04A0" w:firstRow="1" w:lastRow="0" w:firstColumn="1" w:lastColumn="0" w:noHBand="0" w:noVBand="1"/>
      </w:tblPr>
      <w:tblGrid>
        <w:gridCol w:w="2405"/>
        <w:gridCol w:w="6423"/>
      </w:tblGrid>
      <w:tr w:rsidR="00A67930" w:rsidRPr="003C65C4" w14:paraId="4CB63D83" w14:textId="77777777" w:rsidTr="00CC082A">
        <w:tc>
          <w:tcPr>
            <w:tcW w:w="2405" w:type="dxa"/>
          </w:tcPr>
          <w:p w14:paraId="6F1EBED3" w14:textId="77777777" w:rsidR="00A67930" w:rsidRPr="003C65C4" w:rsidRDefault="00A67930" w:rsidP="003C65C4">
            <w:pPr>
              <w:jc w:val="both"/>
              <w:rPr>
                <w:rFonts w:ascii="Times New Roman" w:hAnsi="Times New Roman" w:cs="Times New Roman"/>
                <w:sz w:val="24"/>
                <w:szCs w:val="24"/>
              </w:rPr>
            </w:pPr>
            <w:r w:rsidRPr="003C65C4">
              <w:rPr>
                <w:rFonts w:ascii="Times New Roman" w:eastAsia="Calibri" w:hAnsi="Times New Roman" w:cs="Times New Roman"/>
                <w:sz w:val="24"/>
                <w:szCs w:val="24"/>
              </w:rPr>
              <w:t>Conformación del tribunal:</w:t>
            </w:r>
          </w:p>
        </w:tc>
        <w:tc>
          <w:tcPr>
            <w:tcW w:w="6423" w:type="dxa"/>
          </w:tcPr>
          <w:p w14:paraId="098BA143" w14:textId="30AAF597" w:rsidR="00A67930" w:rsidRPr="003C65C4" w:rsidRDefault="00A67930" w:rsidP="003C65C4">
            <w:pPr>
              <w:jc w:val="both"/>
              <w:rPr>
                <w:rFonts w:ascii="Times New Roman" w:hAnsi="Times New Roman" w:cs="Times New Roman"/>
                <w:sz w:val="24"/>
                <w:szCs w:val="24"/>
              </w:rPr>
            </w:pPr>
            <w:r w:rsidRPr="003C65C4">
              <w:rPr>
                <w:rFonts w:ascii="Times New Roman" w:eastAsia="Times New Roman" w:hAnsi="Times New Roman" w:cs="Times New Roman"/>
                <w:sz w:val="24"/>
                <w:szCs w:val="24"/>
                <w:lang w:eastAsia="es-CR"/>
              </w:rPr>
              <w:t>Fernando Castillo Víquez (magistrado presidente)</w:t>
            </w:r>
            <w:r w:rsidRPr="003C65C4">
              <w:rPr>
                <w:rFonts w:ascii="Times New Roman" w:eastAsia="Times New Roman" w:hAnsi="Times New Roman" w:cs="Times New Roman"/>
                <w:bCs/>
                <w:sz w:val="24"/>
                <w:szCs w:val="24"/>
                <w:lang w:eastAsia="es-CR"/>
              </w:rPr>
              <w:t>, Paul Rueda Leal</w:t>
            </w:r>
            <w:r w:rsidRPr="003C65C4">
              <w:rPr>
                <w:rFonts w:ascii="Times New Roman" w:eastAsia="Times New Roman" w:hAnsi="Times New Roman" w:cs="Times New Roman"/>
                <w:sz w:val="24"/>
                <w:szCs w:val="24"/>
                <w:lang w:eastAsia="es-CR"/>
              </w:rPr>
              <w:t xml:space="preserve">, </w:t>
            </w:r>
            <w:r w:rsidR="00EE1047" w:rsidRPr="003C65C4">
              <w:rPr>
                <w:rFonts w:ascii="Times New Roman" w:eastAsia="Times New Roman" w:hAnsi="Times New Roman" w:cs="Times New Roman"/>
                <w:sz w:val="24"/>
                <w:szCs w:val="24"/>
                <w:lang w:eastAsia="es-CR"/>
              </w:rPr>
              <w:t xml:space="preserve">Jorge Araya García; </w:t>
            </w:r>
            <w:r w:rsidRPr="003C65C4">
              <w:rPr>
                <w:rFonts w:ascii="Times New Roman" w:eastAsia="Times New Roman" w:hAnsi="Times New Roman" w:cs="Times New Roman"/>
                <w:sz w:val="24"/>
                <w:szCs w:val="24"/>
                <w:lang w:eastAsia="es-CR"/>
              </w:rPr>
              <w:t>la</w:t>
            </w:r>
            <w:r w:rsidR="00EE1047" w:rsidRPr="003C65C4">
              <w:rPr>
                <w:rFonts w:ascii="Times New Roman" w:eastAsia="Times New Roman" w:hAnsi="Times New Roman" w:cs="Times New Roman"/>
                <w:sz w:val="24"/>
                <w:szCs w:val="24"/>
                <w:lang w:eastAsia="es-CR"/>
              </w:rPr>
              <w:t>s</w:t>
            </w:r>
            <w:r w:rsidRPr="003C65C4">
              <w:rPr>
                <w:rFonts w:ascii="Times New Roman" w:eastAsia="Times New Roman" w:hAnsi="Times New Roman" w:cs="Times New Roman"/>
                <w:sz w:val="24"/>
                <w:szCs w:val="24"/>
                <w:lang w:eastAsia="es-CR"/>
              </w:rPr>
              <w:t xml:space="preserve"> magistrada</w:t>
            </w:r>
            <w:r w:rsidR="00EE1047" w:rsidRPr="003C65C4">
              <w:rPr>
                <w:rFonts w:ascii="Times New Roman" w:eastAsia="Times New Roman" w:hAnsi="Times New Roman" w:cs="Times New Roman"/>
                <w:sz w:val="24"/>
                <w:szCs w:val="24"/>
                <w:lang w:eastAsia="es-CR"/>
              </w:rPr>
              <w:t>s</w:t>
            </w:r>
            <w:r w:rsidRPr="003C65C4">
              <w:rPr>
                <w:rFonts w:ascii="Times New Roman" w:eastAsia="Times New Roman" w:hAnsi="Times New Roman" w:cs="Times New Roman"/>
                <w:sz w:val="24"/>
                <w:szCs w:val="24"/>
                <w:lang w:eastAsia="es-CR"/>
              </w:rPr>
              <w:t xml:space="preserve"> suplente</w:t>
            </w:r>
            <w:r w:rsidR="00EE1047" w:rsidRPr="003C65C4">
              <w:rPr>
                <w:rFonts w:ascii="Times New Roman" w:eastAsia="Times New Roman" w:hAnsi="Times New Roman" w:cs="Times New Roman"/>
                <w:sz w:val="24"/>
                <w:szCs w:val="24"/>
                <w:lang w:eastAsia="es-CR"/>
              </w:rPr>
              <w:t>s</w:t>
            </w:r>
            <w:r w:rsidRPr="003C65C4">
              <w:rPr>
                <w:rFonts w:ascii="Times New Roman" w:eastAsia="Times New Roman" w:hAnsi="Times New Roman" w:cs="Times New Roman"/>
                <w:sz w:val="24"/>
                <w:szCs w:val="24"/>
                <w:lang w:eastAsia="es-CR"/>
              </w:rPr>
              <w:t xml:space="preserve"> Ana María </w:t>
            </w:r>
            <w:r w:rsidRPr="003C65C4">
              <w:rPr>
                <w:rFonts w:ascii="Times New Roman" w:eastAsia="Times New Roman" w:hAnsi="Times New Roman" w:cs="Times New Roman"/>
                <w:sz w:val="24"/>
                <w:szCs w:val="24"/>
                <w:lang w:eastAsia="es-CR"/>
              </w:rPr>
              <w:lastRenderedPageBreak/>
              <w:t>Picado Brenes,</w:t>
            </w:r>
            <w:r w:rsidR="00EE1047" w:rsidRPr="003C65C4">
              <w:rPr>
                <w:rFonts w:ascii="Times New Roman" w:eastAsia="Times New Roman" w:hAnsi="Times New Roman" w:cs="Times New Roman"/>
                <w:sz w:val="24"/>
                <w:szCs w:val="24"/>
                <w:lang w:eastAsia="es-CR"/>
              </w:rPr>
              <w:t xml:space="preserve"> Ileana Sánchez Navarro y Aracelly Pacheco Salazar; y</w:t>
            </w:r>
            <w:r w:rsidRPr="003C65C4">
              <w:rPr>
                <w:rFonts w:ascii="Times New Roman" w:eastAsia="Times New Roman" w:hAnsi="Times New Roman" w:cs="Times New Roman"/>
                <w:sz w:val="24"/>
                <w:szCs w:val="24"/>
                <w:lang w:eastAsia="es-CR"/>
              </w:rPr>
              <w:t xml:space="preserve"> el magistrado suplente </w:t>
            </w:r>
            <w:r w:rsidR="00EE1047" w:rsidRPr="003C65C4">
              <w:rPr>
                <w:rFonts w:ascii="Times New Roman" w:hAnsi="Times New Roman" w:cs="Times New Roman"/>
                <w:color w:val="000000"/>
                <w:sz w:val="24"/>
                <w:szCs w:val="24"/>
                <w:bdr w:val="none" w:sz="0" w:space="0" w:color="auto" w:frame="1"/>
                <w:shd w:val="clear" w:color="auto" w:fill="FFFFFF"/>
              </w:rPr>
              <w:t>Jorge Isaac Solano</w:t>
            </w:r>
            <w:r w:rsidR="00EE1047" w:rsidRPr="003C65C4">
              <w:rPr>
                <w:rFonts w:ascii="Times New Roman" w:eastAsia="Times New Roman" w:hAnsi="Times New Roman" w:cs="Times New Roman"/>
                <w:sz w:val="24"/>
                <w:szCs w:val="24"/>
                <w:lang w:eastAsia="es-CR"/>
              </w:rPr>
              <w:t xml:space="preserve"> Aguilar.</w:t>
            </w:r>
          </w:p>
        </w:tc>
      </w:tr>
    </w:tbl>
    <w:p w14:paraId="28FF91E8" w14:textId="0D4B704A" w:rsidR="00A67930" w:rsidRPr="003C65C4" w:rsidRDefault="00A67930" w:rsidP="003C65C4">
      <w:pPr>
        <w:jc w:val="both"/>
        <w:rPr>
          <w:rFonts w:ascii="Times New Roman" w:hAnsi="Times New Roman" w:cs="Times New Roman"/>
          <w:sz w:val="24"/>
          <w:szCs w:val="24"/>
        </w:rPr>
      </w:pPr>
    </w:p>
    <w:p w14:paraId="20D304F2" w14:textId="5B4652AB" w:rsidR="001D38E0" w:rsidRDefault="001D38E0" w:rsidP="001D38E0"/>
    <w:sectPr w:rsidR="001D38E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754E" w14:textId="77777777" w:rsidR="00311006" w:rsidRDefault="00311006" w:rsidP="00ED3511">
      <w:pPr>
        <w:spacing w:after="0" w:line="240" w:lineRule="auto"/>
      </w:pPr>
      <w:r>
        <w:separator/>
      </w:r>
    </w:p>
  </w:endnote>
  <w:endnote w:type="continuationSeparator" w:id="0">
    <w:p w14:paraId="0817BEBA" w14:textId="77777777" w:rsidR="00311006" w:rsidRDefault="00311006" w:rsidP="00ED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8EF5" w14:textId="77777777" w:rsidR="00311006" w:rsidRDefault="00311006" w:rsidP="00ED3511">
      <w:pPr>
        <w:spacing w:after="0" w:line="240" w:lineRule="auto"/>
      </w:pPr>
      <w:r>
        <w:separator/>
      </w:r>
    </w:p>
  </w:footnote>
  <w:footnote w:type="continuationSeparator" w:id="0">
    <w:p w14:paraId="2DDBFD50" w14:textId="77777777" w:rsidR="00311006" w:rsidRDefault="00311006" w:rsidP="00ED3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90402"/>
      <w:docPartObj>
        <w:docPartGallery w:val="Page Numbers (Top of Page)"/>
        <w:docPartUnique/>
      </w:docPartObj>
    </w:sdtPr>
    <w:sdtEndPr/>
    <w:sdtContent>
      <w:p w14:paraId="0042C66F" w14:textId="09DEE338" w:rsidR="00ED3511" w:rsidRDefault="00ED3511">
        <w:pPr>
          <w:pStyle w:val="Encabezado"/>
          <w:jc w:val="right"/>
        </w:pPr>
        <w:r>
          <w:fldChar w:fldCharType="begin"/>
        </w:r>
        <w:r>
          <w:instrText>PAGE   \* MERGEFORMAT</w:instrText>
        </w:r>
        <w:r>
          <w:fldChar w:fldCharType="separate"/>
        </w:r>
        <w:r>
          <w:rPr>
            <w:lang w:val="es-ES"/>
          </w:rPr>
          <w:t>2</w:t>
        </w:r>
        <w:r>
          <w:fldChar w:fldCharType="end"/>
        </w:r>
      </w:p>
    </w:sdtContent>
  </w:sdt>
  <w:p w14:paraId="1469AE0B" w14:textId="77777777" w:rsidR="00ED3511" w:rsidRDefault="00ED35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36055"/>
    <w:multiLevelType w:val="hybridMultilevel"/>
    <w:tmpl w:val="3A2AA64A"/>
    <w:lvl w:ilvl="0" w:tplc="E0560654">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30"/>
    <w:rsid w:val="00010345"/>
    <w:rsid w:val="000C1851"/>
    <w:rsid w:val="000D3DC3"/>
    <w:rsid w:val="00161341"/>
    <w:rsid w:val="001A6CE7"/>
    <w:rsid w:val="001D38E0"/>
    <w:rsid w:val="0025778C"/>
    <w:rsid w:val="002C556D"/>
    <w:rsid w:val="00311006"/>
    <w:rsid w:val="003C65C4"/>
    <w:rsid w:val="006B77C8"/>
    <w:rsid w:val="007D12D4"/>
    <w:rsid w:val="00815522"/>
    <w:rsid w:val="00827084"/>
    <w:rsid w:val="00836B78"/>
    <w:rsid w:val="008419E8"/>
    <w:rsid w:val="00854D46"/>
    <w:rsid w:val="00886106"/>
    <w:rsid w:val="00893A84"/>
    <w:rsid w:val="008E180E"/>
    <w:rsid w:val="00941AE2"/>
    <w:rsid w:val="009432CE"/>
    <w:rsid w:val="0096385A"/>
    <w:rsid w:val="009D05C1"/>
    <w:rsid w:val="009F5A1E"/>
    <w:rsid w:val="00A452B3"/>
    <w:rsid w:val="00A67930"/>
    <w:rsid w:val="00AC0542"/>
    <w:rsid w:val="00BA49EA"/>
    <w:rsid w:val="00BC0AF1"/>
    <w:rsid w:val="00D25731"/>
    <w:rsid w:val="00EA2504"/>
    <w:rsid w:val="00EA7016"/>
    <w:rsid w:val="00EB6871"/>
    <w:rsid w:val="00ED3511"/>
    <w:rsid w:val="00EE1047"/>
    <w:rsid w:val="00EE2528"/>
    <w:rsid w:val="00F30883"/>
    <w:rsid w:val="00F63BED"/>
    <w:rsid w:val="00F80FC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7ED4"/>
  <w15:chartTrackingRefBased/>
  <w15:docId w15:val="{8FAB1361-A426-45D7-A59B-2E57663E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930"/>
    <w:pPr>
      <w:ind w:left="720"/>
      <w:contextualSpacing/>
    </w:pPr>
  </w:style>
  <w:style w:type="table" w:customStyle="1" w:styleId="Tablaconcuadrcula1">
    <w:name w:val="Tabla con cuadrícula1"/>
    <w:basedOn w:val="Tablanormal"/>
    <w:next w:val="Tablaconcuadrcula"/>
    <w:uiPriority w:val="59"/>
    <w:rsid w:val="00A6793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A67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1AE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Encabezado">
    <w:name w:val="header"/>
    <w:basedOn w:val="Normal"/>
    <w:link w:val="EncabezadoCar"/>
    <w:uiPriority w:val="99"/>
    <w:unhideWhenUsed/>
    <w:rsid w:val="00ED35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511"/>
  </w:style>
  <w:style w:type="paragraph" w:styleId="Piedepgina">
    <w:name w:val="footer"/>
    <w:basedOn w:val="Normal"/>
    <w:link w:val="PiedepginaCar"/>
    <w:uiPriority w:val="99"/>
    <w:unhideWhenUsed/>
    <w:rsid w:val="00ED35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642</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Mata Blanco</dc:creator>
  <cp:keywords/>
  <dc:description/>
  <cp:lastModifiedBy>Alonso Mata Blanco</cp:lastModifiedBy>
  <cp:revision>6</cp:revision>
  <cp:lastPrinted>2022-01-06T16:39:00Z</cp:lastPrinted>
  <dcterms:created xsi:type="dcterms:W3CDTF">2022-01-06T16:25:00Z</dcterms:created>
  <dcterms:modified xsi:type="dcterms:W3CDTF">2022-01-06T17:21:00Z</dcterms:modified>
</cp:coreProperties>
</file>